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CA" w:rsidRDefault="00721DCA" w:rsidP="003D03C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-330200</wp:posOffset>
                </wp:positionV>
                <wp:extent cx="2057400" cy="1238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DCA" w:rsidRDefault="00721D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075" cy="1079500"/>
                                  <wp:effectExtent l="0" t="0" r="190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EELOlogowUR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456" cy="1122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-26pt;width:162pt;height:97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nYQQIAAHo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" fillcolor="white [3201]" stroked="f" strokeweight=".5pt">
                <v:textbox>
                  <w:txbxContent>
                    <w:p w:rsidR="00721DCA" w:rsidRDefault="00721D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4075" cy="1079500"/>
                            <wp:effectExtent l="0" t="0" r="190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EELOlogowUR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456" cy="1122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-361950</wp:posOffset>
                </wp:positionV>
                <wp:extent cx="4140200" cy="12890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E70" w:rsidRDefault="00154E7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21DCA" w:rsidRPr="00721DCA" w:rsidRDefault="00721DC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21DCA">
                              <w:rPr>
                                <w:b/>
                                <w:sz w:val="48"/>
                                <w:szCs w:val="48"/>
                              </w:rPr>
                              <w:t>Why Quality Matters in Pre-K</w:t>
                            </w:r>
                            <w:r w:rsidR="002A0165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 w:rsidR="002A0165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  <w:t>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155.5pt;margin-top:-28.5pt;width:326pt;height:10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" fillcolor="white [3201]" stroked="f" strokeweight=".5pt">
                <v:textbox>
                  <w:txbxContent>
                    <w:p w:rsidR="00154E70" w:rsidRDefault="00154E70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721DCA" w:rsidRPr="00721DCA" w:rsidRDefault="00721DCA">
                      <w:pPr>
                        <w:rPr>
                          <w:sz w:val="48"/>
                          <w:szCs w:val="48"/>
                        </w:rPr>
                      </w:pPr>
                      <w:r w:rsidRPr="00721DCA">
                        <w:rPr>
                          <w:b/>
                          <w:sz w:val="48"/>
                          <w:szCs w:val="48"/>
                        </w:rPr>
                        <w:t>Why Quality Matters in Pre-K</w:t>
                      </w:r>
                      <w:r w:rsidR="002A0165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 w:rsidR="002A0165">
                        <w:rPr>
                          <w:b/>
                          <w:sz w:val="48"/>
                          <w:szCs w:val="48"/>
                        </w:rPr>
                        <w:br/>
                        <w:t>Benefits</w:t>
                      </w:r>
                    </w:p>
                  </w:txbxContent>
                </v:textbox>
              </v:shape>
            </w:pict>
          </mc:Fallback>
        </mc:AlternateContent>
      </w:r>
    </w:p>
    <w:p w:rsidR="00721DCA" w:rsidRDefault="00721DCA" w:rsidP="003D03C4">
      <w:pPr>
        <w:jc w:val="center"/>
        <w:rPr>
          <w:b/>
          <w:sz w:val="36"/>
          <w:szCs w:val="36"/>
        </w:rPr>
      </w:pPr>
    </w:p>
    <w:p w:rsidR="00721DCA" w:rsidRDefault="00721DCA" w:rsidP="002A0165">
      <w:pPr>
        <w:rPr>
          <w:b/>
          <w:sz w:val="36"/>
          <w:szCs w:val="36"/>
        </w:rPr>
      </w:pPr>
    </w:p>
    <w:p w:rsidR="002A0165" w:rsidRPr="00E14B3F" w:rsidRDefault="002A0165" w:rsidP="002A0165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E14B3F">
        <w:rPr>
          <w:rFonts w:asciiTheme="minorHAnsi" w:hAnsiTheme="minorHAnsi"/>
          <w:sz w:val="22"/>
          <w:szCs w:val="22"/>
        </w:rPr>
        <w:t xml:space="preserve">Spending on many state preschool programs is currently quite low; not surprisingly, so are the outcomes. Three of the four states with the largest populations of 3- and 4-year-olds rank near the bottom on quality standards and spending per child. In </w:t>
      </w:r>
      <w:hyperlink r:id="rId7" w:history="1">
        <w:r w:rsidRPr="00E14B3F">
          <w:rPr>
            <w:rStyle w:val="Hyperlink"/>
            <w:rFonts w:asciiTheme="minorHAnsi" w:hAnsiTheme="minorHAnsi"/>
            <w:sz w:val="22"/>
            <w:szCs w:val="22"/>
          </w:rPr>
          <w:t>2015-2016</w:t>
        </w:r>
      </w:hyperlink>
      <w:r w:rsidRPr="00E14B3F">
        <w:rPr>
          <w:rFonts w:asciiTheme="minorHAnsi" w:hAnsiTheme="minorHAnsi"/>
          <w:sz w:val="22"/>
          <w:szCs w:val="22"/>
        </w:rPr>
        <w:t xml:space="preserve">, average pre-K state spending was $4,976 per child nationwide. In this same year, 32 percent of 4-year-olds and 5 percent of 3-year-olds were served nationally.   </w:t>
      </w:r>
    </w:p>
    <w:p w:rsidR="002A0165" w:rsidRPr="00E14B3F" w:rsidRDefault="002A0165" w:rsidP="002A0165">
      <w:pPr>
        <w:pStyle w:val="p1"/>
        <w:rPr>
          <w:rFonts w:asciiTheme="minorHAnsi" w:hAnsiTheme="minorHAnsi"/>
          <w:sz w:val="22"/>
          <w:szCs w:val="22"/>
        </w:rPr>
      </w:pPr>
    </w:p>
    <w:p w:rsidR="002A0165" w:rsidRPr="00E14B3F" w:rsidRDefault="002A0165" w:rsidP="002A016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4B3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Research shows investing in the early years of a child’s life often produces a high rate of return by positively impacting a child’s readiness at kindergarten entry and future success in </w:t>
      </w:r>
      <w:r w:rsidRPr="00E14B3F">
        <w:rPr>
          <w:rFonts w:cs="Gill Sans"/>
          <w:sz w:val="22"/>
          <w:szCs w:val="22"/>
        </w:rPr>
        <w:t>elementary school, high school, college, and adulthood</w:t>
      </w:r>
      <w:r w:rsidRPr="00E14B3F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. </w:t>
      </w:r>
      <w:hyperlink r:id="rId8" w:history="1">
        <w:r w:rsidRPr="00E14B3F">
          <w:rPr>
            <w:rStyle w:val="Hyperlink"/>
            <w:rFonts w:eastAsia="Times New Roman" w:cs="Times New Roman"/>
            <w:sz w:val="22"/>
            <w:szCs w:val="22"/>
            <w:shd w:val="clear" w:color="auto" w:fill="FFFFFF"/>
            <w:lang w:eastAsia="zh-CN"/>
          </w:rPr>
          <w:t xml:space="preserve">Jim </w:t>
        </w:r>
        <w:proofErr w:type="spellStart"/>
        <w:r w:rsidRPr="00E14B3F">
          <w:rPr>
            <w:rStyle w:val="Hyperlink"/>
            <w:sz w:val="22"/>
            <w:szCs w:val="22"/>
          </w:rPr>
          <w:t>Minervino</w:t>
        </w:r>
        <w:proofErr w:type="spellEnd"/>
        <w:r w:rsidRPr="00E14B3F">
          <w:rPr>
            <w:rStyle w:val="Hyperlink"/>
            <w:sz w:val="22"/>
            <w:szCs w:val="22"/>
          </w:rPr>
          <w:t xml:space="preserve"> (2014)</w:t>
        </w:r>
      </w:hyperlink>
      <w:r w:rsidRPr="00E14B3F">
        <w:rPr>
          <w:sz w:val="22"/>
          <w:szCs w:val="22"/>
        </w:rPr>
        <w:t xml:space="preserve"> created a series of research papers that addresses the conditions and costs associated with implementing high quality pre-K.  Through his analyses of published research, program evaluations, and “extensive consultation with experts in the early childhood field,” </w:t>
      </w:r>
      <w:proofErr w:type="spellStart"/>
      <w:r w:rsidRPr="00E14B3F">
        <w:rPr>
          <w:sz w:val="22"/>
          <w:szCs w:val="22"/>
        </w:rPr>
        <w:t>Minervino</w:t>
      </w:r>
      <w:proofErr w:type="spellEnd"/>
      <w:r w:rsidRPr="00E14B3F">
        <w:rPr>
          <w:sz w:val="22"/>
          <w:szCs w:val="22"/>
        </w:rPr>
        <w:t xml:space="preserve"> concluded that there are substantial funds already invested in early learning, however focusing on different practices and policies could yield better results.</w:t>
      </w:r>
    </w:p>
    <w:p w:rsidR="002A0165" w:rsidRPr="00EC64A4" w:rsidRDefault="002A0165" w:rsidP="002A016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A0165" w:rsidRPr="00E14B3F" w:rsidRDefault="009C61D5" w:rsidP="002A0165">
      <w:pPr>
        <w:widowControl w:val="0"/>
        <w:autoSpaceDE w:val="0"/>
        <w:autoSpaceDN w:val="0"/>
        <w:adjustRightInd w:val="0"/>
        <w:rPr>
          <w:rFonts w:cs="Gill Sans"/>
          <w:color w:val="0000FF" w:themeColor="hyperlink"/>
          <w:sz w:val="22"/>
          <w:szCs w:val="22"/>
          <w:u w:val="single"/>
        </w:rPr>
      </w:pPr>
      <w:hyperlink r:id="rId9" w:history="1">
        <w:r w:rsidR="002A0165" w:rsidRPr="00E14B3F">
          <w:rPr>
            <w:rStyle w:val="Hyperlink"/>
            <w:rFonts w:eastAsia="Times New Roman" w:cs="Times New Roman"/>
            <w:sz w:val="22"/>
            <w:szCs w:val="22"/>
            <w:shd w:val="clear" w:color="auto" w:fill="FFFFFF"/>
            <w:lang w:eastAsia="zh-CN"/>
          </w:rPr>
          <w:t xml:space="preserve">James </w:t>
        </w:r>
        <w:r w:rsidR="002A0165" w:rsidRPr="00E14B3F">
          <w:rPr>
            <w:rStyle w:val="Hyperlink"/>
            <w:rFonts w:cs="Gill Sans"/>
            <w:sz w:val="22"/>
            <w:szCs w:val="22"/>
          </w:rPr>
          <w:t>Heckman’s analysis</w:t>
        </w:r>
      </w:hyperlink>
      <w:r w:rsidR="002A0165" w:rsidRPr="00E14B3F">
        <w:rPr>
          <w:rFonts w:cs="Gill Sans"/>
          <w:sz w:val="22"/>
          <w:szCs w:val="22"/>
        </w:rPr>
        <w:t xml:space="preserve"> of the Perry Preschool program, the original longitudinal study that proved quality early childhood education has a lasting and positive impact on participants into, found a 7 to 10% return on investment. A re-analysis of the </w:t>
      </w:r>
      <w:hyperlink r:id="rId10" w:history="1">
        <w:r w:rsidR="002A0165" w:rsidRPr="00E14B3F">
          <w:rPr>
            <w:rStyle w:val="Hyperlink"/>
            <w:rFonts w:cs="Gill Sans"/>
            <w:sz w:val="22"/>
            <w:szCs w:val="22"/>
          </w:rPr>
          <w:t>Perry Preschool Program by Steve Barnett, Director of the National Institute for Early Education Research (NIEER),</w:t>
        </w:r>
      </w:hyperlink>
      <w:r w:rsidR="002A0165" w:rsidRPr="00E14B3F">
        <w:rPr>
          <w:rFonts w:cs="Gill Sans"/>
          <w:sz w:val="22"/>
          <w:szCs w:val="22"/>
        </w:rPr>
        <w:t xml:space="preserve"> found benefits rose to $16 for every $1 invested. </w:t>
      </w:r>
    </w:p>
    <w:p w:rsidR="002A0165" w:rsidRPr="00EC64A4" w:rsidRDefault="002A0165" w:rsidP="002A0165">
      <w:pPr>
        <w:widowControl w:val="0"/>
        <w:autoSpaceDE w:val="0"/>
        <w:autoSpaceDN w:val="0"/>
        <w:adjustRightInd w:val="0"/>
        <w:rPr>
          <w:rFonts w:eastAsia="Times New Roman" w:cs="Gill Sans"/>
          <w:sz w:val="22"/>
          <w:szCs w:val="22"/>
        </w:rPr>
      </w:pPr>
    </w:p>
    <w:p w:rsidR="002A0165" w:rsidRPr="00E14B3F" w:rsidRDefault="002A0165" w:rsidP="002A0165">
      <w:pPr>
        <w:pStyle w:val="p1"/>
        <w:rPr>
          <w:rFonts w:asciiTheme="minorHAnsi" w:hAnsiTheme="minorHAnsi"/>
          <w:sz w:val="22"/>
          <w:szCs w:val="22"/>
        </w:rPr>
      </w:pPr>
      <w:r w:rsidRPr="00E14B3F">
        <w:rPr>
          <w:rFonts w:asciiTheme="minorHAnsi" w:hAnsiTheme="minorHAnsi"/>
          <w:sz w:val="22"/>
          <w:szCs w:val="22"/>
        </w:rPr>
        <w:t>Preschool quality is important primarily because children deserve a great experience. In addition,</w:t>
      </w:r>
      <w:r w:rsidRPr="00E14B3F">
        <w:rPr>
          <w:rFonts w:asciiTheme="minorHAnsi" w:hAnsiTheme="minorHAnsi"/>
          <w:i/>
          <w:sz w:val="22"/>
          <w:szCs w:val="22"/>
        </w:rPr>
        <w:t xml:space="preserve"> only</w:t>
      </w:r>
      <w:r w:rsidRPr="00E14B3F">
        <w:rPr>
          <w:rFonts w:asciiTheme="minorHAnsi" w:hAnsiTheme="minorHAnsi"/>
          <w:sz w:val="22"/>
          <w:szCs w:val="22"/>
        </w:rPr>
        <w:t xml:space="preserve"> high-quality programs have been shown to provide long-term benefits to children, families and communities. For children to benefit, investments must be adequate to create and maintain high-quality pre-K classroom experiences. </w:t>
      </w:r>
    </w:p>
    <w:p w:rsidR="002A0165" w:rsidRPr="009B1439" w:rsidRDefault="002A0165" w:rsidP="002A0165">
      <w:pPr>
        <w:pStyle w:val="p1"/>
        <w:rPr>
          <w:rFonts w:asciiTheme="minorHAnsi" w:hAnsiTheme="minorHAnsi"/>
          <w:sz w:val="22"/>
          <w:szCs w:val="22"/>
        </w:rPr>
      </w:pPr>
      <w:r w:rsidRPr="00392C31">
        <w:rPr>
          <w:noProof/>
          <w:sz w:val="24"/>
          <w:szCs w:val="24"/>
        </w:rPr>
        <mc:AlternateContent>
          <mc:Choice Requires="wps">
            <w:drawing>
              <wp:anchor distT="91440" distB="91440" distL="91440" distR="91440" simplePos="0" relativeHeight="251666944" behindDoc="1" locked="0" layoutInCell="1" allowOverlap="1" wp14:anchorId="1303B655" wp14:editId="10769866">
                <wp:simplePos x="0" y="0"/>
                <wp:positionH relativeFrom="margin">
                  <wp:align>right</wp:align>
                </wp:positionH>
                <wp:positionV relativeFrom="margin">
                  <wp:posOffset>3371850</wp:posOffset>
                </wp:positionV>
                <wp:extent cx="2870200" cy="1720850"/>
                <wp:effectExtent l="0" t="0" r="635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72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165" w:rsidRPr="007A1591" w:rsidRDefault="002A0165" w:rsidP="002A0165">
                            <w:pPr>
                              <w:rPr>
                                <w:color w:val="7F7F7F" w:themeColor="text1" w:themeTint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591">
                              <w:rPr>
                                <w:b/>
                                <w:color w:val="17365D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7A1591">
                              <w:rPr>
                                <w:b/>
                                <w:color w:val="17365D" w:themeColor="text2" w:themeShade="BF"/>
                              </w:rPr>
                              <w:t>Given this return on investment, providing support for early education is more prudent than waiting until high school when issues are often more difficult to remediate.”</w:t>
                            </w:r>
                            <w:r w:rsidRPr="007A159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7A1591">
                              <w:rPr>
                                <w:i/>
                                <w:color w:val="17365D" w:themeColor="text2" w:themeShade="BF"/>
                              </w:rPr>
                              <w:t>-- Brian Bucher, PNC regional President, Alabama School Readiness Alliance's Pre-K Task Force Members AL.com; June 6, 2016</w:t>
                            </w:r>
                            <w:r w:rsidRPr="007A1591">
                              <w:rPr>
                                <w:b/>
                                <w:i/>
                                <w:color w:val="17365D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B655" id="Text Box 135" o:spid="_x0000_s1028" type="#_x0000_t202" style="position:absolute;margin-left:174.8pt;margin-top:265.5pt;width:226pt;height:135.5pt;z-index:-251649536;visibility:visible;mso-wrap-style:square;mso-width-percent:0;mso-height-percent:0;mso-wrap-distance-left:7.2pt;mso-wrap-distance-top:7.2pt;mso-wrap-distance-right:7.2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" fillcolor="white [3201]" stroked="f" strokeweight="2pt">
                <v:textbox inset=",7.2pt,,7.2pt">
                  <w:txbxContent>
                    <w:p w:rsidR="002A0165" w:rsidRPr="007A1591" w:rsidRDefault="002A0165" w:rsidP="002A0165">
                      <w:pPr>
                        <w:rPr>
                          <w:color w:val="7F7F7F" w:themeColor="text1" w:themeTint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1591">
                        <w:rPr>
                          <w:b/>
                          <w:color w:val="17365D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7A1591">
                        <w:rPr>
                          <w:b/>
                          <w:color w:val="17365D" w:themeColor="text2" w:themeShade="BF"/>
                        </w:rPr>
                        <w:t>Given this return on investment, providing support for early education is more prudent than waiting until high school when issues are often more difficult to remediate.”</w:t>
                      </w:r>
                      <w:r w:rsidRPr="007A1591">
                        <w:rPr>
                          <w:color w:val="17365D" w:themeColor="text2" w:themeShade="BF"/>
                        </w:rPr>
                        <w:t xml:space="preserve"> </w:t>
                      </w:r>
                      <w:r>
                        <w:br/>
                      </w:r>
                      <w:r w:rsidRPr="007A1591">
                        <w:rPr>
                          <w:i/>
                          <w:color w:val="17365D" w:themeColor="text2" w:themeShade="BF"/>
                        </w:rPr>
                        <w:t>-- Brian Bucher, PNC regional President, Alabama School Readiness Alliance's Pre-K Task Force Members AL.com; June 6, 2016</w:t>
                      </w:r>
                      <w:r w:rsidRPr="007A1591">
                        <w:rPr>
                          <w:b/>
                          <w:i/>
                          <w:color w:val="17365D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2"/>
          <w:szCs w:val="22"/>
        </w:rPr>
        <w:br/>
      </w:r>
      <w:r w:rsidRPr="00392C31">
        <w:rPr>
          <w:b/>
          <w:sz w:val="24"/>
          <w:szCs w:val="24"/>
        </w:rPr>
        <w:t>Did you know…</w:t>
      </w:r>
      <w:r>
        <w:rPr>
          <w:b/>
          <w:sz w:val="24"/>
          <w:szCs w:val="24"/>
        </w:rPr>
        <w:br/>
      </w:r>
    </w:p>
    <w:p w:rsidR="002A0165" w:rsidRPr="00EC64A4" w:rsidRDefault="002A0165" w:rsidP="002A0165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EC64A4">
        <w:rPr>
          <w:sz w:val="22"/>
          <w:szCs w:val="22"/>
        </w:rPr>
        <w:t>Investing in high-quality preschool is a good bet: several studies looking at national, statewide and school districts programs show rates of return between $2 and $4 for every dollar invested in high-quality pre-K.</w:t>
      </w:r>
    </w:p>
    <w:p w:rsidR="002A0165" w:rsidRPr="00EC64A4" w:rsidRDefault="002A0165" w:rsidP="002A0165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EC64A4">
        <w:rPr>
          <w:sz w:val="22"/>
          <w:szCs w:val="22"/>
        </w:rPr>
        <w:t>ROI results from high-quality program models implemented with attention to high standards—</w:t>
      </w:r>
      <w:proofErr w:type="gramStart"/>
      <w:r w:rsidRPr="00EC64A4">
        <w:rPr>
          <w:sz w:val="22"/>
          <w:szCs w:val="22"/>
        </w:rPr>
        <w:t>similar to</w:t>
      </w:r>
      <w:proofErr w:type="gramEnd"/>
      <w:r w:rsidRPr="00EC64A4">
        <w:rPr>
          <w:sz w:val="22"/>
          <w:szCs w:val="22"/>
        </w:rPr>
        <w:t xml:space="preserve"> how MPG for a given auto may differ from EPA rating depending on specifics such as road conditions, maintenance and speed</w:t>
      </w:r>
    </w:p>
    <w:p w:rsidR="002A0165" w:rsidRPr="00D72208" w:rsidRDefault="002A0165" w:rsidP="002A0165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EC64A4">
        <w:rPr>
          <w:sz w:val="22"/>
          <w:szCs w:val="22"/>
        </w:rPr>
        <w:t>All children could benefit from high-quality preschool but the need – and the impact -- is typically larger for those growing up in poor families.</w:t>
      </w:r>
      <w:r w:rsidRPr="00D72208">
        <w:rPr>
          <w:sz w:val="22"/>
          <w:szCs w:val="22"/>
        </w:rPr>
        <w:br/>
      </w:r>
    </w:p>
    <w:p w:rsidR="002A0165" w:rsidRPr="002A0165" w:rsidRDefault="002A0165" w:rsidP="002A0165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C13967" wp14:editId="7FC3EEAB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5880100" cy="946150"/>
                <wp:effectExtent l="57150" t="38100" r="82550" b="1016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165" w:rsidRDefault="002A0165" w:rsidP="002A0165">
                            <w:bookmarkStart w:id="0" w:name="_Hlk491176586"/>
                            <w:r w:rsidRPr="00A73F04">
                              <w:rPr>
                                <w:b/>
                                <w:sz w:val="28"/>
                                <w:szCs w:val="28"/>
                              </w:rPr>
                              <w:t>To learn more:</w:t>
                            </w:r>
                            <w:r w:rsidRPr="006572C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72C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bookmarkEnd w:id="0"/>
                            <w:r w:rsidRPr="00EC64A4">
                              <w:rPr>
                                <w:rFonts w:cs="Helvetica"/>
                                <w:sz w:val="22"/>
                                <w:szCs w:val="22"/>
                              </w:rPr>
                              <w:t xml:space="preserve">Investments in Young Children Yield High Public Returns </w:t>
                            </w:r>
                            <w:r w:rsidRPr="00EC64A4">
                              <w:rPr>
                                <w:rFonts w:cs="Helvetica"/>
                                <w:sz w:val="22"/>
                                <w:szCs w:val="22"/>
                              </w:rPr>
                              <w:br/>
                              <w:t>Rob Grunewald (Fall 2016)</w:t>
                            </w:r>
                            <w:r>
                              <w:rPr>
                                <w:rFonts w:cs="Helvetica"/>
                                <w:sz w:val="22"/>
                                <w:szCs w:val="22"/>
                              </w:rPr>
                              <w:br/>
                            </w:r>
                            <w:r w:rsidR="009C61D5" w:rsidRPr="009C61D5">
                              <w:t>https://hcrc.dl.umn.edu/news/investments-young-children-yield-high-public-returns</w:t>
                            </w:r>
                            <w:bookmarkStart w:id="1" w:name="_GoBack"/>
                            <w:bookmarkEnd w:id="1"/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139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.5pt;margin-top:3.25pt;width:463pt;height:7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0165" w:rsidRDefault="002A0165" w:rsidP="002A0165">
                      <w:bookmarkStart w:id="2" w:name="_Hlk491176586"/>
                      <w:r w:rsidRPr="00A73F04">
                        <w:rPr>
                          <w:b/>
                          <w:sz w:val="28"/>
                          <w:szCs w:val="28"/>
                        </w:rPr>
                        <w:t>To learn more:</w:t>
                      </w:r>
                      <w:r w:rsidRPr="006572C0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572C0">
                        <w:rPr>
                          <w:b/>
                          <w:i/>
                          <w:sz w:val="22"/>
                          <w:szCs w:val="22"/>
                        </w:rPr>
                        <w:br/>
                      </w:r>
                      <w:bookmarkEnd w:id="2"/>
                      <w:r w:rsidRPr="00EC64A4">
                        <w:rPr>
                          <w:rFonts w:cs="Helvetica"/>
                          <w:sz w:val="22"/>
                          <w:szCs w:val="22"/>
                        </w:rPr>
                        <w:t xml:space="preserve">Investments in Young Children Yield High Public Returns </w:t>
                      </w:r>
                      <w:r w:rsidRPr="00EC64A4">
                        <w:rPr>
                          <w:rFonts w:cs="Helvetica"/>
                          <w:sz w:val="22"/>
                          <w:szCs w:val="22"/>
                        </w:rPr>
                        <w:br/>
                        <w:t>Rob Grunewald (Fall 2016)</w:t>
                      </w:r>
                      <w:r>
                        <w:rPr>
                          <w:rFonts w:cs="Helvetica"/>
                          <w:sz w:val="22"/>
                          <w:szCs w:val="22"/>
                        </w:rPr>
                        <w:br/>
                      </w:r>
                      <w:r w:rsidR="009C61D5" w:rsidRPr="009C61D5">
                        <w:t>https://hcrc.dl.umn.edu/news/investments-young-children-yield-high-public-returns</w:t>
                      </w:r>
                      <w:bookmarkStart w:id="3" w:name="_GoBack"/>
                      <w:bookmarkEnd w:id="3"/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2A0165" w:rsidRPr="002A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315B7"/>
    <w:multiLevelType w:val="hybridMultilevel"/>
    <w:tmpl w:val="60F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237B"/>
    <w:multiLevelType w:val="hybridMultilevel"/>
    <w:tmpl w:val="992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C4"/>
    <w:rsid w:val="00062E86"/>
    <w:rsid w:val="00154E70"/>
    <w:rsid w:val="0025200E"/>
    <w:rsid w:val="002A0165"/>
    <w:rsid w:val="00387A28"/>
    <w:rsid w:val="00392C31"/>
    <w:rsid w:val="003D03C4"/>
    <w:rsid w:val="00721DCA"/>
    <w:rsid w:val="008A11D0"/>
    <w:rsid w:val="009C61D5"/>
    <w:rsid w:val="00A73F04"/>
    <w:rsid w:val="00AB608B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E5BDE-0022-4812-BA60-457822B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3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03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03C4"/>
    <w:rPr>
      <w:rFonts w:eastAsiaTheme="minorEastAsia"/>
    </w:rPr>
  </w:style>
  <w:style w:type="paragraph" w:customStyle="1" w:styleId="p1">
    <w:name w:val="p1"/>
    <w:basedOn w:val="Normal"/>
    <w:rsid w:val="003D03C4"/>
    <w:rPr>
      <w:rFonts w:ascii="Helvetica" w:hAnsi="Helvetic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3D0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atesfoundation.org/documents/lessons%20from%20research%20and%20the%20Classroom_September%20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eer.org/wp-content/uploads/2017/05/YB2016_StateofPreschool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nieer.org/wp-content/uploads/2014/10/Getting20the20Facts20Right20on20Pre-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ng/viewer?url=www.heckmanequation.org/sites/default/files/F_HeckmanDeficitPieceCUSTOM-Generic_0527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Ruess</dc:creator>
  <cp:keywords/>
  <dc:description/>
  <cp:lastModifiedBy>Michelle Ruess</cp:lastModifiedBy>
  <cp:revision>2</cp:revision>
  <cp:lastPrinted>2017-08-22T19:08:00Z</cp:lastPrinted>
  <dcterms:created xsi:type="dcterms:W3CDTF">2017-10-12T13:58:00Z</dcterms:created>
  <dcterms:modified xsi:type="dcterms:W3CDTF">2017-10-12T13:58:00Z</dcterms:modified>
</cp:coreProperties>
</file>