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922061" w14:textId="77777777" w:rsidR="00FE1FA0" w:rsidRDefault="00FE1FA0">
      <w:pPr>
        <w:jc w:val="center"/>
        <w:rPr>
          <w:rFonts w:eastAsia="Calibri" w:cs="Calibri"/>
          <w:b/>
          <w:color w:val="64ACB4"/>
          <w:sz w:val="28"/>
        </w:rPr>
      </w:pPr>
    </w:p>
    <w:p w14:paraId="46F11AAE" w14:textId="77777777" w:rsidR="002D0BFD" w:rsidRDefault="002D0BFD">
      <w:pPr>
        <w:jc w:val="center"/>
        <w:rPr>
          <w:rFonts w:eastAsia="Calibri" w:cs="Calibri"/>
          <w:b/>
          <w:color w:val="64ACB4"/>
          <w:sz w:val="28"/>
        </w:rPr>
      </w:pPr>
      <w:r>
        <w:rPr>
          <w:rFonts w:eastAsia="Calibri" w:cs="Calibri"/>
          <w:b/>
          <w:color w:val="64ACB4"/>
          <w:sz w:val="28"/>
        </w:rPr>
        <w:t xml:space="preserve">Selected Resources on State-level Professional Learning </w:t>
      </w:r>
    </w:p>
    <w:p w14:paraId="2A995F5A" w14:textId="77777777" w:rsidR="00911741" w:rsidRDefault="002D0BFD">
      <w:pPr>
        <w:jc w:val="center"/>
        <w:rPr>
          <w:rFonts w:eastAsia="Calibri" w:cs="Calibri"/>
          <w:b/>
          <w:color w:val="64ACB4"/>
          <w:sz w:val="28"/>
        </w:rPr>
      </w:pPr>
      <w:r>
        <w:rPr>
          <w:rFonts w:eastAsia="Calibri" w:cs="Calibri"/>
          <w:b/>
          <w:color w:val="64ACB4"/>
          <w:sz w:val="28"/>
        </w:rPr>
        <w:t>Communities and Networks</w:t>
      </w:r>
    </w:p>
    <w:p w14:paraId="58EBC6E0" w14:textId="77777777" w:rsidR="002D0BFD" w:rsidRDefault="002D0BFD">
      <w:pPr>
        <w:jc w:val="center"/>
      </w:pPr>
      <w:bookmarkStart w:id="0" w:name="_GoBack"/>
      <w:bookmarkEnd w:id="0"/>
    </w:p>
    <w:p w14:paraId="68396EA4" w14:textId="77777777" w:rsidR="002D0BFD" w:rsidRDefault="002D0BFD" w:rsidP="002D0BFD">
      <w:pPr>
        <w:jc w:val="center"/>
      </w:pPr>
      <w:r>
        <w:t xml:space="preserve">David Jacobson, Ph.D. </w:t>
      </w:r>
      <w:r>
        <w:br/>
        <w:t>November, 2015</w:t>
      </w:r>
    </w:p>
    <w:p w14:paraId="7E567FA9" w14:textId="77777777" w:rsidR="00CD5E9D" w:rsidRDefault="00CD5E9D"/>
    <w:p w14:paraId="78958BBD" w14:textId="511B8D10" w:rsidR="00CD5E9D" w:rsidRDefault="00491091">
      <w:pPr>
        <w:rPr>
          <w:rFonts w:cs="Calibri"/>
          <w:color w:val="auto"/>
        </w:rPr>
      </w:pPr>
      <w:r w:rsidRPr="00491091">
        <w:rPr>
          <w:rFonts w:cs="Calibri"/>
          <w:color w:val="auto"/>
        </w:rPr>
        <w:t xml:space="preserve">This document identifies selected resources on </w:t>
      </w:r>
      <w:proofErr w:type="gramStart"/>
      <w:r w:rsidRPr="00491091">
        <w:rPr>
          <w:rFonts w:cs="Calibri"/>
          <w:color w:val="auto"/>
        </w:rPr>
        <w:t>state-wide</w:t>
      </w:r>
      <w:proofErr w:type="gramEnd"/>
      <w:r w:rsidRPr="00491091">
        <w:rPr>
          <w:rFonts w:cs="Calibri"/>
          <w:color w:val="auto"/>
        </w:rPr>
        <w:t xml:space="preserve"> professional learning communities and leadership networks.</w:t>
      </w:r>
    </w:p>
    <w:p w14:paraId="28FF8A56" w14:textId="77777777" w:rsidR="00491091" w:rsidRPr="00491091" w:rsidRDefault="00491091"/>
    <w:bookmarkStart w:id="1" w:name="h.3znysh7" w:colFirst="0" w:colLast="0"/>
    <w:bookmarkStart w:id="2" w:name="h.3dy6vkm" w:colFirst="0" w:colLast="0"/>
    <w:bookmarkEnd w:id="1"/>
    <w:bookmarkEnd w:id="2"/>
    <w:p w14:paraId="1C1EC102" w14:textId="77777777" w:rsidR="002D0BFD" w:rsidRDefault="002D0BFD" w:rsidP="002D0BFD">
      <w:r>
        <w:fldChar w:fldCharType="begin"/>
      </w:r>
      <w:r>
        <w:instrText xml:space="preserve"> HYPERLINK "http://www.cpre.org/sites/default/files/other/1504_hatchinnovationpdk13.pdf" </w:instrText>
      </w:r>
      <w:r>
        <w:fldChar w:fldCharType="separate"/>
      </w:r>
      <w:r w:rsidRPr="00EC44B4">
        <w:rPr>
          <w:rStyle w:val="Hyperlink"/>
        </w:rPr>
        <w:t>Innovation at the Core.</w:t>
      </w:r>
      <w:r>
        <w:rPr>
          <w:rStyle w:val="Hyperlink"/>
        </w:rPr>
        <w:fldChar w:fldCharType="end"/>
      </w:r>
      <w:r>
        <w:t xml:space="preserve"> </w:t>
      </w:r>
      <w:r>
        <w:br/>
        <w:t xml:space="preserve">Hatch, T. (2013). Innovation at the Core. </w:t>
      </w:r>
      <w:r w:rsidRPr="00B760A9">
        <w:rPr>
          <w:i/>
        </w:rPr>
        <w:t xml:space="preserve">Phi Delta </w:t>
      </w:r>
      <w:proofErr w:type="spellStart"/>
      <w:r w:rsidRPr="00B760A9">
        <w:rPr>
          <w:i/>
        </w:rPr>
        <w:t>Kappan</w:t>
      </w:r>
      <w:proofErr w:type="spellEnd"/>
      <w:r>
        <w:t xml:space="preserve">, 95 (3), 34-38. </w:t>
      </w:r>
    </w:p>
    <w:p w14:paraId="62DF1A34" w14:textId="77777777" w:rsidR="002D0BFD" w:rsidRDefault="002D0BFD" w:rsidP="002D0BFD">
      <w:r>
        <w:t xml:space="preserve">Improvement and innovation depend not only building capacity at the classroom, center, and school levels, but at the local, regional, and state levels as well. Building this capacity requires social capital, relationships, and trust among the groups and institutions in local communities and across regions and states. </w:t>
      </w:r>
    </w:p>
    <w:p w14:paraId="23FD2ABD" w14:textId="77777777" w:rsidR="002D0BFD" w:rsidRDefault="002D0BFD" w:rsidP="002D0BFD"/>
    <w:p w14:paraId="425D5313" w14:textId="77777777" w:rsidR="002D0BFD" w:rsidRDefault="00491091" w:rsidP="002D0BFD">
      <w:hyperlink r:id="rId8" w:history="1">
        <w:r w:rsidR="002D0BFD" w:rsidRPr="0054051C">
          <w:rPr>
            <w:rStyle w:val="Hyperlink"/>
          </w:rPr>
          <w:t>P-3 Reform in Vision and in Practice.</w:t>
        </w:r>
      </w:hyperlink>
      <w:r w:rsidR="002D0BFD">
        <w:t xml:space="preserve"> </w:t>
      </w:r>
      <w:r w:rsidR="002D0BFD">
        <w:br/>
        <w:t xml:space="preserve">Tarrant, K. (2015). P-3 Reform in Vision and in Practice. </w:t>
      </w:r>
      <w:r w:rsidR="002D0BFD" w:rsidRPr="0054051C">
        <w:rPr>
          <w:i/>
        </w:rPr>
        <w:t>Rising to the Challenge: Building Effective Systems for Young Children and Families, a Build E-Book</w:t>
      </w:r>
      <w:r w:rsidR="002D0BFD">
        <w:t xml:space="preserve">. Build Initiative: Boston, MA. </w:t>
      </w:r>
    </w:p>
    <w:p w14:paraId="1148E582" w14:textId="77777777" w:rsidR="002D0BFD" w:rsidRDefault="002D0BFD" w:rsidP="002D0BFD">
      <w:r>
        <w:t xml:space="preserve">This E-book chapter describes how 8 states are using their RTTT-ELC grants to develop P-3 systems, including how states are engaging instructional leaders from different sectors and across different communities. </w:t>
      </w:r>
    </w:p>
    <w:p w14:paraId="34996B64" w14:textId="77777777" w:rsidR="002D0BFD" w:rsidRDefault="002D0BFD" w:rsidP="002D0BFD"/>
    <w:p w14:paraId="7CB9B9E2" w14:textId="77777777" w:rsidR="002D0BFD" w:rsidRDefault="00491091" w:rsidP="002D0BFD">
      <w:hyperlink r:id="rId9" w:history="1">
        <w:r w:rsidR="002D0BFD" w:rsidRPr="00734292">
          <w:rPr>
            <w:rStyle w:val="Hyperlink"/>
          </w:rPr>
          <w:t>Professional Learning Academy: Supporting District Implementation of Early Childhood Policy.</w:t>
        </w:r>
      </w:hyperlink>
      <w:r w:rsidR="002D0BFD">
        <w:t xml:space="preserve"> </w:t>
      </w:r>
      <w:r w:rsidR="002D0BFD">
        <w:br/>
        <w:t xml:space="preserve">Riley-Ayers, S. &amp; </w:t>
      </w:r>
      <w:proofErr w:type="spellStart"/>
      <w:r w:rsidR="002D0BFD">
        <w:t>Costanza</w:t>
      </w:r>
      <w:proofErr w:type="spellEnd"/>
      <w:r w:rsidR="002D0BFD">
        <w:t xml:space="preserve">, V.J. (2014). </w:t>
      </w:r>
      <w:r w:rsidR="002D0BFD">
        <w:rPr>
          <w:i/>
          <w:iCs/>
        </w:rPr>
        <w:t xml:space="preserve">Professional Learning Academy: Supporting District Implementation of Early Childhood Policy. </w:t>
      </w:r>
      <w:r w:rsidR="002D0BFD">
        <w:t xml:space="preserve">(CEELO </w:t>
      </w:r>
      <w:proofErr w:type="spellStart"/>
      <w:r w:rsidR="002D0BFD">
        <w:t>FastFact</w:t>
      </w:r>
      <w:proofErr w:type="spellEnd"/>
      <w:r w:rsidR="002D0BFD">
        <w:t>). New Brunswick, NJ: Center on Enhancing Early Learning Outcomes.</w:t>
      </w:r>
    </w:p>
    <w:p w14:paraId="7C1D1C24" w14:textId="77777777" w:rsidR="002D0BFD" w:rsidRDefault="002D0BFD" w:rsidP="002D0BFD">
      <w:r>
        <w:t xml:space="preserve">This CEELO </w:t>
      </w:r>
      <w:proofErr w:type="spellStart"/>
      <w:r>
        <w:t>FastFact</w:t>
      </w:r>
      <w:proofErr w:type="spellEnd"/>
      <w:r>
        <w:t xml:space="preserve"> describes New Jersey’s Early Childhood Professional Learning Academy. The goal of the EC Academy is to build a community of practice among New Jersey school districts to provide support in their understanding of critical topics and their application to early childhood. The focus is on building a common understanding and implementation of three key policy reforms: early childhood quality and program improvement, teacher evaluation, and Common Core State Standards.</w:t>
      </w:r>
    </w:p>
    <w:p w14:paraId="03CD99D4" w14:textId="77777777" w:rsidR="002D0BFD" w:rsidRDefault="002D0BFD" w:rsidP="002D0BFD"/>
    <w:p w14:paraId="0192FA2A" w14:textId="77777777" w:rsidR="002D0BFD" w:rsidRDefault="00491091" w:rsidP="002D0BFD">
      <w:hyperlink r:id="rId10" w:history="1">
        <w:r w:rsidR="002D0BFD" w:rsidRPr="0054051C">
          <w:rPr>
            <w:rStyle w:val="Hyperlink"/>
          </w:rPr>
          <w:t>Peer Learning Community Guide</w:t>
        </w:r>
      </w:hyperlink>
      <w:r w:rsidR="002D0BFD">
        <w:br/>
        <w:t xml:space="preserve">Schilder, D., Clarke Brown, K., &amp; </w:t>
      </w:r>
      <w:proofErr w:type="spellStart"/>
      <w:r w:rsidR="002D0BFD">
        <w:t>Gillaspy</w:t>
      </w:r>
      <w:proofErr w:type="spellEnd"/>
      <w:r w:rsidR="002D0BFD">
        <w:t xml:space="preserve">, K. (2014). Peer Learning Community Guide: CEELO </w:t>
      </w:r>
      <w:proofErr w:type="spellStart"/>
      <w:r w:rsidR="002D0BFD">
        <w:t>FastFact</w:t>
      </w:r>
      <w:proofErr w:type="spellEnd"/>
      <w:r w:rsidR="002D0BFD">
        <w:t>. New Brunswick, NJ: Center on Enhancing Early Learning Outcomes.</w:t>
      </w:r>
    </w:p>
    <w:p w14:paraId="7E93CDCF" w14:textId="77777777" w:rsidR="002D0BFD" w:rsidRDefault="002D0BFD" w:rsidP="002D0BFD">
      <w:r>
        <w:t>This document is designed to delineate the steps to establish and sustain a Peer Learning Community (PLC). The authors begin with a definition of a PLC and then present the steps to take to establish a PLC.</w:t>
      </w:r>
    </w:p>
    <w:p w14:paraId="074B7304" w14:textId="77777777" w:rsidR="002D0BFD" w:rsidRDefault="002D0BFD" w:rsidP="002D0BFD"/>
    <w:p w14:paraId="7488265C" w14:textId="77777777" w:rsidR="002D0BFD" w:rsidRDefault="002D0BFD" w:rsidP="002D0BFD"/>
    <w:p w14:paraId="26348352" w14:textId="77777777" w:rsidR="002D0BFD" w:rsidRDefault="00491091" w:rsidP="002D0BFD">
      <w:hyperlink r:id="rId11" w:history="1">
        <w:r w:rsidR="002D0BFD" w:rsidRPr="004838CA">
          <w:rPr>
            <w:rStyle w:val="Hyperlink"/>
          </w:rPr>
          <w:t>Selected Resources on Professional Development Systems</w:t>
        </w:r>
      </w:hyperlink>
      <w:r w:rsidR="002D0BFD">
        <w:br/>
        <w:t xml:space="preserve">Schilder, D. (2014). Selected Resources on Professional Development Systems: CEELO Annotated Bibliography. New Brunswick, NJ: Center on Enhancing Early Learning Outcomes. </w:t>
      </w:r>
    </w:p>
    <w:p w14:paraId="479EA9D8" w14:textId="77777777" w:rsidR="00C75125" w:rsidRDefault="00C75125"/>
    <w:p w14:paraId="2CE6A121" w14:textId="77777777" w:rsidR="00C75125" w:rsidRDefault="00C75125" w:rsidP="00C75125">
      <w:pPr>
        <w:spacing w:line="240" w:lineRule="auto"/>
        <w:rPr>
          <w:rFonts w:asciiTheme="minorHAnsi" w:eastAsia="Times New Roman" w:hAnsiTheme="minorHAnsi"/>
          <w:b/>
          <w:color w:val="578DC5"/>
        </w:rPr>
      </w:pPr>
    </w:p>
    <w:p w14:paraId="26C04AC7" w14:textId="77777777" w:rsidR="00C75125" w:rsidRPr="00C75125" w:rsidRDefault="00C75125" w:rsidP="00C75125">
      <w:pPr>
        <w:spacing w:line="240" w:lineRule="auto"/>
        <w:rPr>
          <w:rFonts w:asciiTheme="minorHAnsi" w:eastAsia="Times New Roman" w:hAnsiTheme="minorHAnsi"/>
          <w:b/>
          <w:color w:val="578DC5"/>
        </w:rPr>
      </w:pPr>
      <w:r w:rsidRPr="00C75125">
        <w:rPr>
          <w:rFonts w:asciiTheme="minorHAnsi" w:eastAsia="Times New Roman" w:hAnsiTheme="minorHAnsi"/>
          <w:b/>
          <w:color w:val="578DC5"/>
        </w:rPr>
        <w:t>ABOUT CEELO:</w:t>
      </w:r>
    </w:p>
    <w:p w14:paraId="3A017B53" w14:textId="77777777" w:rsidR="00C75125" w:rsidRPr="00C75125" w:rsidRDefault="00C75125" w:rsidP="00C75125">
      <w:pPr>
        <w:rPr>
          <w:rFonts w:asciiTheme="minorHAnsi" w:eastAsia="MS Mincho" w:hAnsiTheme="minorHAnsi" w:cs="Times New Roman"/>
          <w:color w:val="auto"/>
          <w:sz w:val="20"/>
        </w:rPr>
      </w:pPr>
      <w:r w:rsidRPr="00C75125">
        <w:rPr>
          <w:rFonts w:asciiTheme="minorHAnsi" w:hAnsiTheme="minorHAnsi"/>
          <w:szCs w:val="17"/>
          <w:shd w:val="clear" w:color="auto" w:fill="FFFFFF"/>
        </w:rPr>
        <w:t>One of 22 Comprehensive Centers funded by the U.S. Department of Education’s Office of Elementary and Secondary Education, the Center on Enhancing Early Learning Outcomes (CEELO) will strengthen the capacity of State Education Agencies (SEAs) to lead sustained improvements in early learning opportunities and outcomes. CEELO will work in partnership with SEAs, state and local early childhood leaders, and other federal and national technical assistance (TA) providers to promote innovation and accountability.</w:t>
      </w:r>
    </w:p>
    <w:p w14:paraId="65E5007B" w14:textId="77777777" w:rsidR="00C75125" w:rsidRPr="00C75125" w:rsidRDefault="00C75125" w:rsidP="00C75125">
      <w:pPr>
        <w:spacing w:line="240" w:lineRule="auto"/>
        <w:rPr>
          <w:rFonts w:asciiTheme="minorHAnsi" w:eastAsia="Times New Roman" w:hAnsiTheme="minorHAnsi"/>
          <w:i/>
        </w:rPr>
      </w:pPr>
    </w:p>
    <w:p w14:paraId="1D506D04" w14:textId="77777777" w:rsidR="00C75125" w:rsidRPr="00C75125" w:rsidRDefault="00C75125" w:rsidP="00C75125">
      <w:pPr>
        <w:spacing w:line="240" w:lineRule="auto"/>
        <w:rPr>
          <w:rFonts w:asciiTheme="minorHAnsi" w:eastAsia="Times New Roman" w:hAnsiTheme="minorHAnsi"/>
        </w:rPr>
      </w:pPr>
      <w:r w:rsidRPr="00C75125">
        <w:rPr>
          <w:rFonts w:asciiTheme="minorHAnsi" w:eastAsia="Times New Roman" w:hAnsiTheme="minorHAnsi"/>
        </w:rPr>
        <w:t xml:space="preserve">For other </w:t>
      </w:r>
      <w:r w:rsidRPr="00C75125">
        <w:rPr>
          <w:rFonts w:asciiTheme="minorHAnsi" w:eastAsia="Times New Roman" w:hAnsiTheme="minorHAnsi"/>
          <w:i/>
        </w:rPr>
        <w:t>CEELO Policy Reports</w:t>
      </w:r>
      <w:r w:rsidRPr="00C75125">
        <w:rPr>
          <w:rFonts w:asciiTheme="minorHAnsi" w:eastAsia="Times New Roman" w:hAnsiTheme="minorHAnsi"/>
        </w:rPr>
        <w:t xml:space="preserve">, </w:t>
      </w:r>
      <w:r w:rsidRPr="00C75125">
        <w:rPr>
          <w:rFonts w:asciiTheme="minorHAnsi" w:eastAsia="Times New Roman" w:hAnsiTheme="minorHAnsi"/>
          <w:i/>
        </w:rPr>
        <w:t>Policy Briefs</w:t>
      </w:r>
      <w:r w:rsidRPr="00C75125">
        <w:rPr>
          <w:rFonts w:asciiTheme="minorHAnsi" w:eastAsia="Times New Roman" w:hAnsiTheme="minorHAnsi"/>
        </w:rPr>
        <w:t xml:space="preserve">, </w:t>
      </w:r>
      <w:r w:rsidRPr="00C75125">
        <w:rPr>
          <w:rFonts w:asciiTheme="minorHAnsi" w:eastAsia="Times New Roman" w:hAnsiTheme="minorHAnsi"/>
          <w:i/>
        </w:rPr>
        <w:t>FastFacts</w:t>
      </w:r>
      <w:r w:rsidRPr="00C75125">
        <w:rPr>
          <w:rFonts w:asciiTheme="minorHAnsi" w:eastAsia="Times New Roman" w:hAnsiTheme="minorHAnsi"/>
        </w:rPr>
        <w:t>,</w:t>
      </w:r>
      <w:r>
        <w:rPr>
          <w:rFonts w:asciiTheme="minorHAnsi" w:eastAsia="Times New Roman" w:hAnsiTheme="minorHAnsi"/>
        </w:rPr>
        <w:t xml:space="preserve"> and </w:t>
      </w:r>
      <w:r>
        <w:rPr>
          <w:rFonts w:asciiTheme="minorHAnsi" w:eastAsia="Times New Roman" w:hAnsiTheme="minorHAnsi"/>
          <w:i/>
        </w:rPr>
        <w:t xml:space="preserve">Annotated Bibliographies </w:t>
      </w:r>
      <w:r w:rsidRPr="00C75125">
        <w:rPr>
          <w:rFonts w:asciiTheme="minorHAnsi" w:eastAsia="Times New Roman" w:hAnsiTheme="minorHAnsi"/>
        </w:rPr>
        <w:t xml:space="preserve"> go to </w:t>
      </w:r>
      <w:hyperlink r:id="rId12" w:history="1">
        <w:r w:rsidR="00817871" w:rsidRPr="00817871">
          <w:rPr>
            <w:rStyle w:val="Hyperlink"/>
            <w:rFonts w:asciiTheme="minorHAnsi" w:hAnsiTheme="minorHAnsi"/>
          </w:rPr>
          <w:t>http://ceelo.org/ceelo-products/</w:t>
        </w:r>
      </w:hyperlink>
      <w:r w:rsidRPr="00817871">
        <w:rPr>
          <w:rFonts w:asciiTheme="minorHAnsi" w:eastAsia="Times New Roman" w:hAnsiTheme="minorHAnsi"/>
        </w:rPr>
        <w:t>.</w:t>
      </w:r>
      <w:r w:rsidRPr="00C75125">
        <w:rPr>
          <w:rFonts w:asciiTheme="minorHAnsi" w:eastAsia="Times New Roman" w:hAnsiTheme="minorHAnsi"/>
        </w:rPr>
        <w:t xml:space="preserve"> </w:t>
      </w:r>
    </w:p>
    <w:p w14:paraId="3172EF5F" w14:textId="77777777" w:rsidR="00C75125" w:rsidRPr="00C75125" w:rsidRDefault="00C75125" w:rsidP="00C75125">
      <w:pPr>
        <w:spacing w:line="240" w:lineRule="auto"/>
        <w:rPr>
          <w:rFonts w:asciiTheme="minorHAnsi" w:eastAsia="Times New Roman" w:hAnsiTheme="minorHAnsi"/>
        </w:rPr>
      </w:pPr>
    </w:p>
    <w:p w14:paraId="2155DCD7" w14:textId="77777777" w:rsidR="00C75125" w:rsidRPr="00C75125" w:rsidRDefault="00C75125" w:rsidP="00C75125">
      <w:pPr>
        <w:spacing w:line="240" w:lineRule="auto"/>
        <w:rPr>
          <w:rFonts w:asciiTheme="minorHAnsi" w:eastAsia="Times New Roman" w:hAnsiTheme="minorHAnsi"/>
        </w:rPr>
      </w:pPr>
    </w:p>
    <w:p w14:paraId="7605E8F6" w14:textId="77777777" w:rsidR="00C75125" w:rsidRDefault="00C75125" w:rsidP="00C75125">
      <w:pPr>
        <w:rPr>
          <w:rFonts w:asciiTheme="minorHAnsi" w:eastAsia="MS Mincho" w:hAnsiTheme="minorHAnsi" w:cs="Times New Roman"/>
        </w:rPr>
      </w:pPr>
    </w:p>
    <w:p w14:paraId="5BC722CC" w14:textId="77777777" w:rsidR="00C75125" w:rsidRDefault="00C75125" w:rsidP="00C75125">
      <w:pPr>
        <w:rPr>
          <w:rFonts w:asciiTheme="minorHAnsi" w:eastAsia="MS Mincho" w:hAnsiTheme="minorHAnsi" w:cs="Times New Roman"/>
        </w:rPr>
      </w:pPr>
    </w:p>
    <w:p w14:paraId="018EC8A6" w14:textId="77777777" w:rsidR="00C75125" w:rsidRDefault="00C75125" w:rsidP="00C75125">
      <w:pPr>
        <w:rPr>
          <w:rFonts w:asciiTheme="minorHAnsi" w:eastAsia="MS Mincho" w:hAnsiTheme="minorHAnsi" w:cs="Times New Roman"/>
        </w:rPr>
      </w:pPr>
    </w:p>
    <w:p w14:paraId="5DB4484B" w14:textId="77777777" w:rsidR="002D0BFD" w:rsidRDefault="002D0BFD" w:rsidP="00C75125">
      <w:pPr>
        <w:rPr>
          <w:rFonts w:asciiTheme="minorHAnsi" w:eastAsia="MS Mincho" w:hAnsiTheme="minorHAnsi" w:cs="Times New Roman"/>
        </w:rPr>
      </w:pPr>
    </w:p>
    <w:p w14:paraId="684643BB" w14:textId="77777777" w:rsidR="002D0BFD" w:rsidRDefault="002D0BFD" w:rsidP="00C75125">
      <w:pPr>
        <w:rPr>
          <w:rFonts w:asciiTheme="minorHAnsi" w:eastAsia="MS Mincho" w:hAnsiTheme="minorHAnsi" w:cs="Times New Roman"/>
        </w:rPr>
      </w:pPr>
    </w:p>
    <w:p w14:paraId="6AA1441C" w14:textId="77777777" w:rsidR="00C75125" w:rsidRPr="00C75125" w:rsidRDefault="00C75125" w:rsidP="00C75125">
      <w:pPr>
        <w:rPr>
          <w:rFonts w:asciiTheme="minorHAnsi" w:eastAsia="MS Mincho" w:hAnsiTheme="minorHAnsi" w:cs="Times New Roman"/>
        </w:rPr>
      </w:pPr>
    </w:p>
    <w:p w14:paraId="47BEC495" w14:textId="77777777" w:rsidR="00C75125" w:rsidRPr="00C75125" w:rsidRDefault="00C75125" w:rsidP="00C75125">
      <w:pPr>
        <w:rPr>
          <w:rFonts w:asciiTheme="minorHAnsi" w:hAnsiTheme="minorHAnsi"/>
        </w:rPr>
      </w:pPr>
    </w:p>
    <w:p w14:paraId="7C885CDF" w14:textId="77777777" w:rsidR="00C75125" w:rsidRPr="00C75125" w:rsidRDefault="00C75125" w:rsidP="00C75125">
      <w:pPr>
        <w:rPr>
          <w:rFonts w:asciiTheme="minorHAnsi" w:hAnsiTheme="minorHAnsi"/>
        </w:rPr>
      </w:pPr>
    </w:p>
    <w:p w14:paraId="165FC190" w14:textId="77777777" w:rsidR="00C75125" w:rsidRPr="00C75125" w:rsidRDefault="00C75125" w:rsidP="00C75125">
      <w:pPr>
        <w:shd w:val="clear" w:color="auto" w:fill="99CCFF"/>
        <w:spacing w:line="240" w:lineRule="auto"/>
        <w:rPr>
          <w:rFonts w:asciiTheme="minorHAnsi" w:eastAsia="SimSun-ExtB" w:hAnsiTheme="minorHAnsi"/>
        </w:rPr>
      </w:pPr>
      <w:r w:rsidRPr="00C75125">
        <w:rPr>
          <w:rFonts w:asciiTheme="minorHAnsi" w:eastAsia="SimSun-ExtB" w:hAnsiTheme="minorHAnsi"/>
        </w:rPr>
        <w:t xml:space="preserve">This </w:t>
      </w:r>
      <w:r w:rsidR="004C47C1">
        <w:rPr>
          <w:rFonts w:asciiTheme="minorHAnsi" w:eastAsia="SimSun-ExtB" w:hAnsiTheme="minorHAnsi"/>
        </w:rPr>
        <w:t>annotated bibliography</w:t>
      </w:r>
      <w:r w:rsidRPr="00C75125">
        <w:rPr>
          <w:rFonts w:asciiTheme="minorHAnsi" w:eastAsia="SimSun-ExtB" w:hAnsiTheme="minorHAnsi"/>
        </w:rPr>
        <w:t xml:space="preserve"> was produced by the Center on Enhancing Early Learning Outcomes, with funds from the U.S. Department of Education under cooperative agreement number S283B120054. The content does not necessarily reflect the position or policy of the Department of Education, nor does mention or visual representation of trade names, commercial products, or organizations imply endorsement by the federal government.</w:t>
      </w:r>
    </w:p>
    <w:p w14:paraId="7291702D" w14:textId="77777777" w:rsidR="00C75125" w:rsidRPr="00C75125" w:rsidRDefault="00C75125" w:rsidP="00C75125">
      <w:pPr>
        <w:autoSpaceDE w:val="0"/>
        <w:autoSpaceDN w:val="0"/>
        <w:adjustRightInd w:val="0"/>
        <w:spacing w:line="240" w:lineRule="auto"/>
        <w:jc w:val="both"/>
        <w:rPr>
          <w:rFonts w:asciiTheme="minorHAnsi" w:eastAsia="PMingLiU" w:hAnsiTheme="minorHAnsi" w:cs="Times"/>
          <w:sz w:val="24"/>
          <w:szCs w:val="24"/>
        </w:rPr>
      </w:pPr>
    </w:p>
    <w:p w14:paraId="50895765" w14:textId="77777777" w:rsidR="00C75125" w:rsidRPr="00C75125" w:rsidRDefault="00C75125" w:rsidP="00C75125">
      <w:pPr>
        <w:autoSpaceDE w:val="0"/>
        <w:autoSpaceDN w:val="0"/>
        <w:adjustRightInd w:val="0"/>
        <w:spacing w:line="240" w:lineRule="auto"/>
        <w:jc w:val="center"/>
        <w:rPr>
          <w:rFonts w:asciiTheme="minorHAnsi" w:eastAsia="PMingLiU" w:hAnsiTheme="minorHAnsi" w:cs="Times"/>
          <w:sz w:val="24"/>
          <w:szCs w:val="24"/>
        </w:rPr>
      </w:pPr>
      <w:r w:rsidRPr="00C75125">
        <w:rPr>
          <w:rFonts w:asciiTheme="minorHAnsi" w:eastAsia="PMingLiU" w:hAnsiTheme="minorHAnsi"/>
          <w:b/>
          <w:noProof/>
          <w:color w:val="267166"/>
          <w:sz w:val="24"/>
          <w:szCs w:val="24"/>
        </w:rPr>
        <w:drawing>
          <wp:inline distT="0" distB="0" distL="0" distR="0" wp14:anchorId="1611A01F" wp14:editId="3D3895A9">
            <wp:extent cx="4219575" cy="9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9525"/>
                    </a:xfrm>
                    <a:prstGeom prst="rect">
                      <a:avLst/>
                    </a:prstGeom>
                    <a:noFill/>
                    <a:ln>
                      <a:noFill/>
                    </a:ln>
                  </pic:spPr>
                </pic:pic>
              </a:graphicData>
            </a:graphic>
          </wp:inline>
        </w:drawing>
      </w:r>
    </w:p>
    <w:p w14:paraId="3FEAB102" w14:textId="77777777" w:rsidR="00C75125" w:rsidRPr="00C75125" w:rsidRDefault="00C75125" w:rsidP="00C75125">
      <w:pPr>
        <w:autoSpaceDE w:val="0"/>
        <w:autoSpaceDN w:val="0"/>
        <w:adjustRightInd w:val="0"/>
        <w:spacing w:line="240" w:lineRule="auto"/>
        <w:jc w:val="center"/>
        <w:rPr>
          <w:rFonts w:asciiTheme="minorHAnsi" w:eastAsia="PMingLiU" w:hAnsiTheme="minorHAnsi" w:cs="Times"/>
          <w:sz w:val="24"/>
          <w:szCs w:val="24"/>
        </w:rPr>
      </w:pPr>
    </w:p>
    <w:p w14:paraId="2995621C" w14:textId="77777777" w:rsidR="00C75125" w:rsidRPr="00C75125" w:rsidRDefault="00C75125" w:rsidP="00C75125">
      <w:pPr>
        <w:spacing w:line="240" w:lineRule="auto"/>
        <w:jc w:val="center"/>
        <w:rPr>
          <w:rFonts w:asciiTheme="minorHAnsi" w:eastAsia="PMingLiU" w:hAnsiTheme="minorHAnsi" w:cs="Times New Roman"/>
          <w:color w:val="808080"/>
        </w:rPr>
      </w:pPr>
      <w:r w:rsidRPr="00C75125">
        <w:rPr>
          <w:rFonts w:asciiTheme="minorHAnsi" w:eastAsia="PMingLiU" w:hAnsiTheme="minorHAnsi"/>
          <w:color w:val="808080"/>
        </w:rPr>
        <w:t>The Center on Enhancing Early Learning Outcomes (CEELO) is a partnership of the following organizations:</w:t>
      </w:r>
    </w:p>
    <w:p w14:paraId="62E1917B" w14:textId="77777777" w:rsidR="00C75125" w:rsidRPr="00C75125" w:rsidRDefault="00C75125" w:rsidP="00C75125">
      <w:pPr>
        <w:spacing w:line="240" w:lineRule="auto"/>
        <w:jc w:val="center"/>
        <w:rPr>
          <w:rFonts w:asciiTheme="minorHAnsi" w:eastAsia="PMingLiU" w:hAnsiTheme="minorHAnsi"/>
          <w:color w:val="808080"/>
          <w:sz w:val="20"/>
        </w:rPr>
      </w:pPr>
    </w:p>
    <w:p w14:paraId="0296F633" w14:textId="77777777" w:rsidR="00C75125" w:rsidRPr="00C75125" w:rsidRDefault="00C75125" w:rsidP="00C75125">
      <w:pPr>
        <w:spacing w:line="240" w:lineRule="auto"/>
        <w:jc w:val="center"/>
        <w:rPr>
          <w:rFonts w:asciiTheme="minorHAnsi" w:eastAsia="PMingLiU" w:hAnsiTheme="minorHAnsi"/>
          <w:color w:val="auto"/>
          <w:sz w:val="24"/>
          <w:szCs w:val="24"/>
        </w:rPr>
      </w:pPr>
      <w:r w:rsidRPr="00C75125">
        <w:rPr>
          <w:rFonts w:asciiTheme="minorHAnsi" w:eastAsia="PMingLiU" w:hAnsiTheme="minorHAnsi"/>
          <w:noProof/>
          <w:sz w:val="24"/>
          <w:szCs w:val="24"/>
        </w:rPr>
        <w:drawing>
          <wp:inline distT="0" distB="0" distL="0" distR="0" wp14:anchorId="3ED24A6A" wp14:editId="247D8C11">
            <wp:extent cx="1485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723900"/>
                    </a:xfrm>
                    <a:prstGeom prst="rect">
                      <a:avLst/>
                    </a:prstGeom>
                    <a:noFill/>
                    <a:ln>
                      <a:noFill/>
                    </a:ln>
                  </pic:spPr>
                </pic:pic>
              </a:graphicData>
            </a:graphic>
          </wp:inline>
        </w:drawing>
      </w:r>
      <w:r w:rsidRPr="00C75125">
        <w:rPr>
          <w:rFonts w:asciiTheme="minorHAnsi" w:eastAsia="PMingLiU" w:hAnsiTheme="minorHAnsi"/>
          <w:noProof/>
          <w:sz w:val="24"/>
          <w:szCs w:val="24"/>
        </w:rPr>
        <w:drawing>
          <wp:inline distT="0" distB="0" distL="0" distR="0" wp14:anchorId="7F732D8E" wp14:editId="00A7A86F">
            <wp:extent cx="15049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pic:spPr>
                </pic:pic>
              </a:graphicData>
            </a:graphic>
          </wp:inline>
        </w:drawing>
      </w:r>
      <w:r w:rsidRPr="00C75125">
        <w:rPr>
          <w:rFonts w:asciiTheme="minorHAnsi" w:eastAsia="PMingLiU" w:hAnsiTheme="minorHAnsi"/>
          <w:noProof/>
          <w:sz w:val="24"/>
          <w:szCs w:val="24"/>
        </w:rPr>
        <w:drawing>
          <wp:inline distT="0" distB="0" distL="0" distR="0" wp14:anchorId="3AF569F0" wp14:editId="73EDFE31">
            <wp:extent cx="145732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695325"/>
                    </a:xfrm>
                    <a:prstGeom prst="rect">
                      <a:avLst/>
                    </a:prstGeom>
                    <a:noFill/>
                    <a:ln>
                      <a:noFill/>
                    </a:ln>
                  </pic:spPr>
                </pic:pic>
              </a:graphicData>
            </a:graphic>
          </wp:inline>
        </w:drawing>
      </w:r>
    </w:p>
    <w:p w14:paraId="746FC62F" w14:textId="77777777" w:rsidR="00C75125" w:rsidRPr="00C75125" w:rsidRDefault="00C75125" w:rsidP="00C75125">
      <w:pPr>
        <w:autoSpaceDE w:val="0"/>
        <w:autoSpaceDN w:val="0"/>
        <w:adjustRightInd w:val="0"/>
        <w:spacing w:line="240" w:lineRule="auto"/>
        <w:jc w:val="both"/>
        <w:rPr>
          <w:rFonts w:asciiTheme="minorHAnsi" w:eastAsia="PMingLiU" w:hAnsiTheme="minorHAnsi" w:cs="Times"/>
          <w:sz w:val="24"/>
          <w:szCs w:val="24"/>
        </w:rPr>
      </w:pPr>
    </w:p>
    <w:p w14:paraId="7F12FA19" w14:textId="77777777" w:rsidR="00CD5E9D" w:rsidRPr="00C75125" w:rsidRDefault="00C75125" w:rsidP="00C75125">
      <w:pPr>
        <w:autoSpaceDE w:val="0"/>
        <w:autoSpaceDN w:val="0"/>
        <w:adjustRightInd w:val="0"/>
        <w:spacing w:line="240" w:lineRule="auto"/>
        <w:jc w:val="center"/>
        <w:rPr>
          <w:rFonts w:ascii="Cambria" w:eastAsia="PMingLiU" w:hAnsi="Cambria" w:cs="Times"/>
          <w:sz w:val="24"/>
          <w:szCs w:val="24"/>
        </w:rPr>
      </w:pPr>
      <w:r>
        <w:rPr>
          <w:rFonts w:ascii="Cambria" w:eastAsia="PMingLiU" w:hAnsi="Cambria"/>
          <w:b/>
          <w:noProof/>
          <w:color w:val="267166"/>
          <w:sz w:val="24"/>
          <w:szCs w:val="24"/>
        </w:rPr>
        <w:drawing>
          <wp:inline distT="0" distB="0" distL="0" distR="0" wp14:anchorId="0C3D9996" wp14:editId="3239C5AB">
            <wp:extent cx="4219575" cy="9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9525"/>
                    </a:xfrm>
                    <a:prstGeom prst="rect">
                      <a:avLst/>
                    </a:prstGeom>
                    <a:noFill/>
                    <a:ln>
                      <a:noFill/>
                    </a:ln>
                  </pic:spPr>
                </pic:pic>
              </a:graphicData>
            </a:graphic>
          </wp:inline>
        </w:drawing>
      </w:r>
    </w:p>
    <w:sectPr w:rsidR="00CD5E9D" w:rsidRPr="00C75125" w:rsidSect="00AF7A6D">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B671F" w14:textId="77777777" w:rsidR="00980A92" w:rsidRDefault="00980A92" w:rsidP="002F2D6E">
      <w:pPr>
        <w:spacing w:line="240" w:lineRule="auto"/>
      </w:pPr>
      <w:r>
        <w:separator/>
      </w:r>
    </w:p>
  </w:endnote>
  <w:endnote w:type="continuationSeparator" w:id="0">
    <w:p w14:paraId="14ACDC5A" w14:textId="77777777" w:rsidR="00980A92" w:rsidRDefault="00980A92" w:rsidP="002F2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SimSun-ExtB">
    <w:panose1 w:val="02010609060101010101"/>
    <w:charset w:val="51"/>
    <w:family w:val="auto"/>
    <w:pitch w:val="variable"/>
    <w:sig w:usb0="00000001" w:usb1="0A080000" w:usb2="00000010" w:usb3="00000000" w:csb0="0014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新細明體">
    <w:charset w:val="51"/>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6040"/>
      <w:docPartObj>
        <w:docPartGallery w:val="Page Numbers (Bottom of Page)"/>
        <w:docPartUnique/>
      </w:docPartObj>
    </w:sdtPr>
    <w:sdtEndPr>
      <w:rPr>
        <w:noProof/>
      </w:rPr>
    </w:sdtEndPr>
    <w:sdtContent>
      <w:p w14:paraId="77123E69" w14:textId="77777777" w:rsidR="002F2D6E" w:rsidRDefault="002F2D6E">
        <w:pPr>
          <w:pStyle w:val="Footer"/>
          <w:jc w:val="right"/>
        </w:pPr>
        <w:r>
          <w:fldChar w:fldCharType="begin"/>
        </w:r>
        <w:r>
          <w:instrText xml:space="preserve"> PAGE   \* MERGEFORMAT </w:instrText>
        </w:r>
        <w:r>
          <w:fldChar w:fldCharType="separate"/>
        </w:r>
        <w:r w:rsidR="00491091">
          <w:rPr>
            <w:noProof/>
          </w:rPr>
          <w:t>1</w:t>
        </w:r>
        <w:r>
          <w:rPr>
            <w:noProof/>
          </w:rPr>
          <w:fldChar w:fldCharType="end"/>
        </w:r>
      </w:p>
    </w:sdtContent>
  </w:sdt>
  <w:p w14:paraId="11F140ED" w14:textId="77777777" w:rsidR="002F2D6E" w:rsidRDefault="002F2D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0F11B" w14:textId="77777777" w:rsidR="00980A92" w:rsidRDefault="00980A92" w:rsidP="002F2D6E">
      <w:pPr>
        <w:spacing w:line="240" w:lineRule="auto"/>
      </w:pPr>
      <w:r>
        <w:separator/>
      </w:r>
    </w:p>
  </w:footnote>
  <w:footnote w:type="continuationSeparator" w:id="0">
    <w:p w14:paraId="3AC311D2" w14:textId="77777777" w:rsidR="00980A92" w:rsidRDefault="00980A92" w:rsidP="002F2D6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B490A" w14:textId="77777777" w:rsidR="00FE1FA0" w:rsidRDefault="00FE1FA0" w:rsidP="00FE1FA0">
    <w:pPr>
      <w:pStyle w:val="Header"/>
      <w:jc w:val="center"/>
    </w:pPr>
    <w:r>
      <w:rPr>
        <w:noProof/>
      </w:rPr>
      <w:drawing>
        <wp:inline distT="0" distB="0" distL="0" distR="0" wp14:anchorId="486A1BA3" wp14:editId="29B30C17">
          <wp:extent cx="464980" cy="5266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png"/>
                  <pic:cNvPicPr/>
                </pic:nvPicPr>
                <pic:blipFill>
                  <a:blip r:embed="rId1">
                    <a:extLst>
                      <a:ext uri="{28A0092B-C50C-407E-A947-70E740481C1C}">
                        <a14:useLocalDpi xmlns:a14="http://schemas.microsoft.com/office/drawing/2010/main" val="0"/>
                      </a:ext>
                    </a:extLst>
                  </a:blip>
                  <a:stretch>
                    <a:fillRect/>
                  </a:stretch>
                </pic:blipFill>
                <pic:spPr>
                  <a:xfrm>
                    <a:off x="0" y="0"/>
                    <a:ext cx="465547" cy="527269"/>
                  </a:xfrm>
                  <a:prstGeom prst="rect">
                    <a:avLst/>
                  </a:prstGeom>
                </pic:spPr>
              </pic:pic>
            </a:graphicData>
          </a:graphic>
        </wp:inline>
      </w:drawing>
    </w:r>
    <w:r w:rsidRPr="00996E52">
      <w:rPr>
        <w:rFonts w:ascii="Arial Narrow" w:hAnsi="Arial Narrow"/>
        <w:b/>
        <w:color w:val="808080" w:themeColor="background1" w:themeShade="80"/>
        <w:sz w:val="24"/>
        <w:szCs w:val="24"/>
      </w:rPr>
      <w:t>CENTER ON ENHANCING EARLY LEARNING OUTCOMES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5E9D"/>
    <w:rsid w:val="000D5E09"/>
    <w:rsid w:val="00162759"/>
    <w:rsid w:val="001F0C5B"/>
    <w:rsid w:val="00220F47"/>
    <w:rsid w:val="00242785"/>
    <w:rsid w:val="0026465F"/>
    <w:rsid w:val="002A6A41"/>
    <w:rsid w:val="002C0556"/>
    <w:rsid w:val="002D0BFD"/>
    <w:rsid w:val="002F2D6E"/>
    <w:rsid w:val="00300088"/>
    <w:rsid w:val="00305F28"/>
    <w:rsid w:val="003253C0"/>
    <w:rsid w:val="003A7849"/>
    <w:rsid w:val="003E16EC"/>
    <w:rsid w:val="004003C0"/>
    <w:rsid w:val="00401F7A"/>
    <w:rsid w:val="00404CEC"/>
    <w:rsid w:val="00423B55"/>
    <w:rsid w:val="0042672D"/>
    <w:rsid w:val="0045307F"/>
    <w:rsid w:val="00486ED7"/>
    <w:rsid w:val="00491091"/>
    <w:rsid w:val="004C47C1"/>
    <w:rsid w:val="00516CF7"/>
    <w:rsid w:val="005355AF"/>
    <w:rsid w:val="00547B1F"/>
    <w:rsid w:val="00594FDC"/>
    <w:rsid w:val="006D32AF"/>
    <w:rsid w:val="006F5219"/>
    <w:rsid w:val="00741FD5"/>
    <w:rsid w:val="00751E15"/>
    <w:rsid w:val="00757098"/>
    <w:rsid w:val="00773E25"/>
    <w:rsid w:val="007879D8"/>
    <w:rsid w:val="0079244B"/>
    <w:rsid w:val="007A2E55"/>
    <w:rsid w:val="007A46B2"/>
    <w:rsid w:val="007F595A"/>
    <w:rsid w:val="00816C6E"/>
    <w:rsid w:val="00817871"/>
    <w:rsid w:val="00820C66"/>
    <w:rsid w:val="008239C2"/>
    <w:rsid w:val="00841BF5"/>
    <w:rsid w:val="00867BAB"/>
    <w:rsid w:val="008713DD"/>
    <w:rsid w:val="008D3E0D"/>
    <w:rsid w:val="00911741"/>
    <w:rsid w:val="00980A92"/>
    <w:rsid w:val="00A46F83"/>
    <w:rsid w:val="00A566EB"/>
    <w:rsid w:val="00A759B5"/>
    <w:rsid w:val="00AE5BA8"/>
    <w:rsid w:val="00AF7A6D"/>
    <w:rsid w:val="00B7057E"/>
    <w:rsid w:val="00BA7F85"/>
    <w:rsid w:val="00C75125"/>
    <w:rsid w:val="00CD5E9D"/>
    <w:rsid w:val="00CF678B"/>
    <w:rsid w:val="00D4644A"/>
    <w:rsid w:val="00D477CB"/>
    <w:rsid w:val="00D64D46"/>
    <w:rsid w:val="00D66A8D"/>
    <w:rsid w:val="00D82697"/>
    <w:rsid w:val="00E02386"/>
    <w:rsid w:val="00E66D68"/>
    <w:rsid w:val="00E87798"/>
    <w:rsid w:val="00F02116"/>
    <w:rsid w:val="00F87CDE"/>
    <w:rsid w:val="00FA6205"/>
    <w:rsid w:val="00FB79F2"/>
    <w:rsid w:val="00FD617A"/>
    <w:rsid w:val="00FE1FA0"/>
    <w:rsid w:val="00FF6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6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595A"/>
  </w:style>
  <w:style w:type="paragraph" w:styleId="Heading1">
    <w:name w:val="heading 1"/>
    <w:basedOn w:val="Normal"/>
    <w:next w:val="Normal"/>
    <w:rsid w:val="007F595A"/>
    <w:pPr>
      <w:spacing w:before="200"/>
      <w:outlineLvl w:val="0"/>
    </w:pPr>
    <w:rPr>
      <w:rFonts w:eastAsia="Trebuchet MS" w:cs="Trebuchet MS"/>
      <w:sz w:val="32"/>
    </w:rPr>
  </w:style>
  <w:style w:type="paragraph" w:styleId="Heading2">
    <w:name w:val="heading 2"/>
    <w:basedOn w:val="Normal"/>
    <w:next w:val="Normal"/>
    <w:rsid w:val="007F595A"/>
    <w:pPr>
      <w:spacing w:before="200"/>
      <w:outlineLvl w:val="1"/>
    </w:pPr>
    <w:rPr>
      <w:rFonts w:eastAsia="Trebuchet MS" w:cs="Trebuchet MS"/>
      <w:b/>
      <w:sz w:val="26"/>
    </w:rPr>
  </w:style>
  <w:style w:type="paragraph" w:styleId="Heading3">
    <w:name w:val="heading 3"/>
    <w:basedOn w:val="Normal"/>
    <w:next w:val="Normal"/>
    <w:rsid w:val="007F595A"/>
    <w:pPr>
      <w:spacing w:before="160"/>
      <w:outlineLvl w:val="2"/>
    </w:pPr>
    <w:rPr>
      <w:rFonts w:eastAsia="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F2D6E"/>
    <w:pPr>
      <w:tabs>
        <w:tab w:val="center" w:pos="4680"/>
        <w:tab w:val="right" w:pos="9360"/>
      </w:tabs>
      <w:spacing w:line="240" w:lineRule="auto"/>
    </w:pPr>
  </w:style>
  <w:style w:type="character" w:customStyle="1" w:styleId="HeaderChar">
    <w:name w:val="Header Char"/>
    <w:basedOn w:val="DefaultParagraphFont"/>
    <w:link w:val="Header"/>
    <w:uiPriority w:val="99"/>
    <w:rsid w:val="002F2D6E"/>
  </w:style>
  <w:style w:type="paragraph" w:styleId="Footer">
    <w:name w:val="footer"/>
    <w:basedOn w:val="Normal"/>
    <w:link w:val="FooterChar"/>
    <w:uiPriority w:val="99"/>
    <w:unhideWhenUsed/>
    <w:rsid w:val="002F2D6E"/>
    <w:pPr>
      <w:tabs>
        <w:tab w:val="center" w:pos="4680"/>
        <w:tab w:val="right" w:pos="9360"/>
      </w:tabs>
      <w:spacing w:line="240" w:lineRule="auto"/>
    </w:pPr>
  </w:style>
  <w:style w:type="character" w:customStyle="1" w:styleId="FooterChar">
    <w:name w:val="Footer Char"/>
    <w:basedOn w:val="DefaultParagraphFont"/>
    <w:link w:val="Footer"/>
    <w:uiPriority w:val="99"/>
    <w:rsid w:val="002F2D6E"/>
  </w:style>
  <w:style w:type="character" w:styleId="Hyperlink">
    <w:name w:val="Hyperlink"/>
    <w:basedOn w:val="DefaultParagraphFont"/>
    <w:uiPriority w:val="99"/>
    <w:unhideWhenUsed/>
    <w:rsid w:val="00D66A8D"/>
    <w:rPr>
      <w:color w:val="0000FF"/>
      <w:u w:val="single"/>
    </w:rPr>
  </w:style>
  <w:style w:type="paragraph" w:styleId="BalloonText">
    <w:name w:val="Balloon Text"/>
    <w:basedOn w:val="Normal"/>
    <w:link w:val="BalloonTextChar"/>
    <w:uiPriority w:val="99"/>
    <w:semiHidden/>
    <w:unhideWhenUsed/>
    <w:rsid w:val="00FE1F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A0"/>
    <w:rPr>
      <w:rFonts w:ascii="Tahoma" w:hAnsi="Tahoma" w:cs="Tahoma"/>
      <w:sz w:val="16"/>
      <w:szCs w:val="16"/>
    </w:rPr>
  </w:style>
  <w:style w:type="character" w:styleId="FollowedHyperlink">
    <w:name w:val="FollowedHyperlink"/>
    <w:basedOn w:val="DefaultParagraphFont"/>
    <w:uiPriority w:val="99"/>
    <w:semiHidden/>
    <w:unhideWhenUsed/>
    <w:rsid w:val="00547B1F"/>
    <w:rPr>
      <w:color w:val="39A999"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595A"/>
  </w:style>
  <w:style w:type="paragraph" w:styleId="Heading1">
    <w:name w:val="heading 1"/>
    <w:basedOn w:val="Normal"/>
    <w:next w:val="Normal"/>
    <w:rsid w:val="007F595A"/>
    <w:pPr>
      <w:spacing w:before="200"/>
      <w:outlineLvl w:val="0"/>
    </w:pPr>
    <w:rPr>
      <w:rFonts w:eastAsia="Trebuchet MS" w:cs="Trebuchet MS"/>
      <w:sz w:val="32"/>
    </w:rPr>
  </w:style>
  <w:style w:type="paragraph" w:styleId="Heading2">
    <w:name w:val="heading 2"/>
    <w:basedOn w:val="Normal"/>
    <w:next w:val="Normal"/>
    <w:rsid w:val="007F595A"/>
    <w:pPr>
      <w:spacing w:before="200"/>
      <w:outlineLvl w:val="1"/>
    </w:pPr>
    <w:rPr>
      <w:rFonts w:eastAsia="Trebuchet MS" w:cs="Trebuchet MS"/>
      <w:b/>
      <w:sz w:val="26"/>
    </w:rPr>
  </w:style>
  <w:style w:type="paragraph" w:styleId="Heading3">
    <w:name w:val="heading 3"/>
    <w:basedOn w:val="Normal"/>
    <w:next w:val="Normal"/>
    <w:rsid w:val="007F595A"/>
    <w:pPr>
      <w:spacing w:before="160"/>
      <w:outlineLvl w:val="2"/>
    </w:pPr>
    <w:rPr>
      <w:rFonts w:eastAsia="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F2D6E"/>
    <w:pPr>
      <w:tabs>
        <w:tab w:val="center" w:pos="4680"/>
        <w:tab w:val="right" w:pos="9360"/>
      </w:tabs>
      <w:spacing w:line="240" w:lineRule="auto"/>
    </w:pPr>
  </w:style>
  <w:style w:type="character" w:customStyle="1" w:styleId="HeaderChar">
    <w:name w:val="Header Char"/>
    <w:basedOn w:val="DefaultParagraphFont"/>
    <w:link w:val="Header"/>
    <w:uiPriority w:val="99"/>
    <w:rsid w:val="002F2D6E"/>
  </w:style>
  <w:style w:type="paragraph" w:styleId="Footer">
    <w:name w:val="footer"/>
    <w:basedOn w:val="Normal"/>
    <w:link w:val="FooterChar"/>
    <w:uiPriority w:val="99"/>
    <w:unhideWhenUsed/>
    <w:rsid w:val="002F2D6E"/>
    <w:pPr>
      <w:tabs>
        <w:tab w:val="center" w:pos="4680"/>
        <w:tab w:val="right" w:pos="9360"/>
      </w:tabs>
      <w:spacing w:line="240" w:lineRule="auto"/>
    </w:pPr>
  </w:style>
  <w:style w:type="character" w:customStyle="1" w:styleId="FooterChar">
    <w:name w:val="Footer Char"/>
    <w:basedOn w:val="DefaultParagraphFont"/>
    <w:link w:val="Footer"/>
    <w:uiPriority w:val="99"/>
    <w:rsid w:val="002F2D6E"/>
  </w:style>
  <w:style w:type="character" w:styleId="Hyperlink">
    <w:name w:val="Hyperlink"/>
    <w:basedOn w:val="DefaultParagraphFont"/>
    <w:uiPriority w:val="99"/>
    <w:unhideWhenUsed/>
    <w:rsid w:val="00D66A8D"/>
    <w:rPr>
      <w:color w:val="0000FF"/>
      <w:u w:val="single"/>
    </w:rPr>
  </w:style>
  <w:style w:type="paragraph" w:styleId="BalloonText">
    <w:name w:val="Balloon Text"/>
    <w:basedOn w:val="Normal"/>
    <w:link w:val="BalloonTextChar"/>
    <w:uiPriority w:val="99"/>
    <w:semiHidden/>
    <w:unhideWhenUsed/>
    <w:rsid w:val="00FE1F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A0"/>
    <w:rPr>
      <w:rFonts w:ascii="Tahoma" w:hAnsi="Tahoma" w:cs="Tahoma"/>
      <w:sz w:val="16"/>
      <w:szCs w:val="16"/>
    </w:rPr>
  </w:style>
  <w:style w:type="character" w:styleId="FollowedHyperlink">
    <w:name w:val="FollowedHyperlink"/>
    <w:basedOn w:val="DefaultParagraphFont"/>
    <w:uiPriority w:val="99"/>
    <w:semiHidden/>
    <w:unhideWhenUsed/>
    <w:rsid w:val="00547B1F"/>
    <w:rPr>
      <w:color w:val="39A9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eelo.org/wp-content/uploads/2014/10/ceelo_fast_fact_ec_academy.pdf" TargetMode="External"/><Relationship Id="rId20" Type="http://schemas.openxmlformats.org/officeDocument/2006/relationships/theme" Target="theme/theme1.xml"/><Relationship Id="rId10" Type="http://schemas.openxmlformats.org/officeDocument/2006/relationships/hyperlink" Target="http://ceelo.org/wp-content/uploads/2014/07/ceelo_fast_fact_plc_guide.pdf" TargetMode="External"/><Relationship Id="rId11" Type="http://schemas.openxmlformats.org/officeDocument/2006/relationships/hyperlink" Target="http://ceelo.org/wp-content/uploads/2014/10/ceelo_annotated_bibliography_pd_systems.pdf" TargetMode="External"/><Relationship Id="rId12" Type="http://schemas.openxmlformats.org/officeDocument/2006/relationships/hyperlink" Target="http://ceelo.org/ceelo-products/"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ildinitiative.org/Portals/0/Uploads/Documents/E-BookChapter5P-3ReforminVisionandinPrac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19">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578DC5"/>
      </a:hlink>
      <a:folHlink>
        <a:srgbClr val="39A999"/>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1BEF-7676-0846-8765-65035ABB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FinancingEarlyChildhoodResourceDocument 4.2.14.docx</vt:lpstr>
    </vt:vector>
  </TitlesOfParts>
  <Company>Graduate School of Education, Rutgers University</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FinancingEarlyChildhoodResourceDocument 4.2.14.docx</dc:title>
  <dc:creator>Lori Connors-Tadros</dc:creator>
  <cp:lastModifiedBy>Jana Martella</cp:lastModifiedBy>
  <cp:revision>4</cp:revision>
  <cp:lastPrinted>2015-11-30T16:05:00Z</cp:lastPrinted>
  <dcterms:created xsi:type="dcterms:W3CDTF">2015-11-30T16:05:00Z</dcterms:created>
  <dcterms:modified xsi:type="dcterms:W3CDTF">2015-11-30T18:46:00Z</dcterms:modified>
</cp:coreProperties>
</file>